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A6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Управљање безбједносним ризицима природних катастрофа</w:t>
      </w:r>
    </w:p>
    <w:tbl>
      <w:tblPr>
        <w:tblStyle w:val="4"/>
        <w:tblW w:w="6914" w:type="dxa"/>
        <w:jc w:val="center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49"/>
        <w:gridCol w:w="1800"/>
        <w:gridCol w:w="1694"/>
      </w:tblGrid>
      <w:tr w14:paraId="0DC2675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3F83005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color w:val="FFFFFF" w:themeColor="background1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190674979"/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357102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4E14587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80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D92264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 xml:space="preserve">        МАРТ</w:t>
            </w:r>
          </w:p>
        </w:tc>
        <w:tc>
          <w:tcPr>
            <w:tcW w:w="1694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6AD2ED8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38EEFA0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2930B80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76046A0C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32DE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15.00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78D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75673BF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4D10FE12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Природне непогоде и катастрофе</w:t>
            </w:r>
          </w:p>
          <w:p w14:paraId="4F71F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Драган Млађан</w:t>
            </w:r>
          </w:p>
        </w:tc>
        <w:tc>
          <w:tcPr>
            <w:tcW w:w="1800" w:type="dxa"/>
          </w:tcPr>
          <w:p w14:paraId="76E4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</w:tcPr>
          <w:p w14:paraId="78F5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4B5EDA5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147494F4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bookmarkStart w:id="1" w:name="_Hlk183957774"/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Управљање безбјендосним ризицима природних катастрофа</w:t>
            </w:r>
          </w:p>
          <w:p w14:paraId="5A50E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F8E8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01F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bookmarkEnd w:id="1"/>
      <w:tr w14:paraId="3E04A48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</w:tblPrEx>
        <w:trPr>
          <w:jc w:val="center"/>
        </w:trPr>
        <w:tc>
          <w:tcPr>
            <w:tcW w:w="671" w:type="dxa"/>
          </w:tcPr>
          <w:p w14:paraId="10EAEE2F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заштите и спасавања у природним катастрофама</w:t>
            </w:r>
          </w:p>
          <w:p w14:paraId="2F2AC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7EE99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30.5. у 14.00</w:t>
            </w:r>
          </w:p>
        </w:tc>
        <w:tc>
          <w:tcPr>
            <w:tcW w:w="1694" w:type="dxa"/>
          </w:tcPr>
          <w:p w14:paraId="1FC1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14:paraId="734D248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53281280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0605D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6C0A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9BEB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</w:tc>
      </w:tr>
      <w:tr w14:paraId="26D03BA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717FF343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Превенција и сузбијање криминала у условима природних катастрофа</w:t>
            </w:r>
          </w:p>
          <w:p w14:paraId="3B63B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Миле Шикман</w:t>
            </w:r>
          </w:p>
        </w:tc>
        <w:tc>
          <w:tcPr>
            <w:tcW w:w="1800" w:type="dxa"/>
          </w:tcPr>
          <w:p w14:paraId="0D1E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 у 13.00</w:t>
            </w:r>
          </w:p>
        </w:tc>
        <w:tc>
          <w:tcPr>
            <w:tcW w:w="1694" w:type="dxa"/>
          </w:tcPr>
          <w:p w14:paraId="0872B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КК</w:t>
            </w:r>
          </w:p>
        </w:tc>
      </w:tr>
      <w:tr w14:paraId="441C18D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1D8C9A42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Информационо-комуникационе технологије у подршци управљању ризицима од природних катастрофа</w:t>
            </w:r>
          </w:p>
          <w:p w14:paraId="361E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5B1C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30.5. у 09.00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DA3D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14:paraId="0864305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04F15536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Кризни менаџмент и комуницирање у природним катастрофама</w:t>
            </w:r>
          </w:p>
          <w:p w14:paraId="7EC9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00" w:type="dxa"/>
          </w:tcPr>
          <w:p w14:paraId="025BD287"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     27.5. у 09.00</w:t>
            </w:r>
          </w:p>
        </w:tc>
        <w:tc>
          <w:tcPr>
            <w:tcW w:w="1694" w:type="dxa"/>
          </w:tcPr>
          <w:p w14:paraId="2A81C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14:paraId="3A03E8D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069FFCB6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080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30.5.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14.00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617F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14:paraId="0FF5389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43096237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Надлежност и улога полиције у природним непогодама и катастрофе</w:t>
            </w:r>
          </w:p>
          <w:p w14:paraId="4375B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800" w:type="dxa"/>
          </w:tcPr>
          <w:p w14:paraId="6F8D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94" w:type="dxa"/>
          </w:tcPr>
          <w:p w14:paraId="4E55D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</w:tbl>
    <w:p w14:paraId="4D888A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4"/>
        <w:tblW w:w="6852" w:type="dxa"/>
        <w:jc w:val="center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929"/>
        <w:gridCol w:w="1620"/>
        <w:gridCol w:w="1632"/>
      </w:tblGrid>
      <w:tr w14:paraId="40648A3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3FC15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FFFFFF" w:themeColor="background1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77E099B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Предмет</w:t>
            </w:r>
          </w:p>
          <w:p w14:paraId="7E75D53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Наставник</w:t>
            </w:r>
          </w:p>
        </w:tc>
        <w:tc>
          <w:tcPr>
            <w:tcW w:w="162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0982D51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МАРТ</w:t>
            </w:r>
          </w:p>
        </w:tc>
        <w:tc>
          <w:tcPr>
            <w:tcW w:w="1632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7B3588E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Учио</w:t>
            </w:r>
          </w:p>
          <w:p w14:paraId="4FD2E76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sr-Cyrl-BA"/>
                <w14:textFill>
                  <w14:solidFill>
                    <w14:schemeClr w14:val="bg1"/>
                  </w14:solidFill>
                </w14:textFill>
              </w:rPr>
              <w:t>ница</w:t>
            </w:r>
          </w:p>
        </w:tc>
      </w:tr>
      <w:tr w14:paraId="5B2D7E7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6C169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FE2E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15.00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14:paraId="4C498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14:paraId="2F916FC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7B5A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3EB2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27.5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у 09.00</w:t>
            </w:r>
          </w:p>
        </w:tc>
        <w:tc>
          <w:tcPr>
            <w:tcW w:w="1632" w:type="dxa"/>
          </w:tcPr>
          <w:p w14:paraId="6223B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14:paraId="4D224DF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797A3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F92F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14:paraId="186E9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</w:tr>
      <w:tr w14:paraId="02EB75B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3816A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0873B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</w:tc>
        <w:tc>
          <w:tcPr>
            <w:tcW w:w="1632" w:type="dxa"/>
          </w:tcPr>
          <w:p w14:paraId="1085C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239173D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1E0F1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55FE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20.5.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14:paraId="6C399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30</w:t>
            </w:r>
          </w:p>
        </w:tc>
      </w:tr>
      <w:tr w14:paraId="5C8B1EF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71" w:type="dxa"/>
          </w:tcPr>
          <w:p w14:paraId="1E16B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683F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7B608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Доц. др Предраг Поповић </w:t>
            </w:r>
          </w:p>
        </w:tc>
        <w:tc>
          <w:tcPr>
            <w:tcW w:w="1620" w:type="dxa"/>
          </w:tcPr>
          <w:p w14:paraId="58959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sr-Cyrl-BA"/>
              </w:rPr>
              <w:t>20.5. у 08.30</w:t>
            </w:r>
          </w:p>
        </w:tc>
        <w:tc>
          <w:tcPr>
            <w:tcW w:w="1632" w:type="dxa"/>
          </w:tcPr>
          <w:p w14:paraId="0BD5E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</w:tr>
      <w:tr w14:paraId="4D5E437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602FF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CD3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28.5.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3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14:paraId="174B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</w:p>
        </w:tc>
      </w:tr>
      <w:tr w14:paraId="12C1670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344F9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3196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13.00</w:t>
            </w:r>
          </w:p>
        </w:tc>
        <w:tc>
          <w:tcPr>
            <w:tcW w:w="1632" w:type="dxa"/>
          </w:tcPr>
          <w:p w14:paraId="6882A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</w:tr>
      <w:tr w14:paraId="4F28437F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shd w:val="clear" w:color="auto" w:fill="D9E2F3" w:themeFill="accent5" w:themeFillTint="33"/>
          </w:tcPr>
          <w:p w14:paraId="2099D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5F3D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19.5. у 09.00</w:t>
            </w:r>
          </w:p>
        </w:tc>
        <w:tc>
          <w:tcPr>
            <w:tcW w:w="1632" w:type="dxa"/>
            <w:shd w:val="clear" w:color="auto" w:fill="D9E2F3" w:themeFill="accent5" w:themeFillTint="33"/>
          </w:tcPr>
          <w:p w14:paraId="15D72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5F5B6BB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 w14:paraId="56B2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7389E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20.5. у 13.00</w:t>
            </w:r>
          </w:p>
        </w:tc>
        <w:tc>
          <w:tcPr>
            <w:tcW w:w="1632" w:type="dxa"/>
          </w:tcPr>
          <w:p w14:paraId="0BC6C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КК</w:t>
            </w:r>
          </w:p>
        </w:tc>
      </w:tr>
    </w:tbl>
    <w:p w14:paraId="5140B1CF">
      <w:pPr>
        <w:rPr>
          <w:lang w:val="ru-RU"/>
        </w:rPr>
      </w:pPr>
    </w:p>
    <w:p w14:paraId="39F239FA">
      <w:pPr>
        <w:rPr>
          <w:lang w:val="ru-RU"/>
        </w:rPr>
      </w:pPr>
    </w:p>
    <w:p w14:paraId="1CA6F541">
      <w:pPr>
        <w:rPr>
          <w:lang w:val="ru-RU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D"/>
    <w:rsid w:val="00001E1A"/>
    <w:rsid w:val="00006A50"/>
    <w:rsid w:val="00022460"/>
    <w:rsid w:val="00022732"/>
    <w:rsid w:val="00025698"/>
    <w:rsid w:val="00032733"/>
    <w:rsid w:val="000533AA"/>
    <w:rsid w:val="00072897"/>
    <w:rsid w:val="00086D94"/>
    <w:rsid w:val="000959DF"/>
    <w:rsid w:val="0009601D"/>
    <w:rsid w:val="00096EB3"/>
    <w:rsid w:val="000B6886"/>
    <w:rsid w:val="000E041D"/>
    <w:rsid w:val="000E30E4"/>
    <w:rsid w:val="0010635B"/>
    <w:rsid w:val="00133C63"/>
    <w:rsid w:val="001513E4"/>
    <w:rsid w:val="001517A2"/>
    <w:rsid w:val="00156135"/>
    <w:rsid w:val="00160204"/>
    <w:rsid w:val="0017262B"/>
    <w:rsid w:val="001814EF"/>
    <w:rsid w:val="00183EE4"/>
    <w:rsid w:val="001935E3"/>
    <w:rsid w:val="00196389"/>
    <w:rsid w:val="001965E7"/>
    <w:rsid w:val="001A2706"/>
    <w:rsid w:val="001B1145"/>
    <w:rsid w:val="001D47EE"/>
    <w:rsid w:val="001D7D56"/>
    <w:rsid w:val="001F436E"/>
    <w:rsid w:val="002065DC"/>
    <w:rsid w:val="00236B41"/>
    <w:rsid w:val="002634F4"/>
    <w:rsid w:val="00270CF9"/>
    <w:rsid w:val="00293175"/>
    <w:rsid w:val="002A0F88"/>
    <w:rsid w:val="002C209B"/>
    <w:rsid w:val="002C27A8"/>
    <w:rsid w:val="002C7D0C"/>
    <w:rsid w:val="002D287D"/>
    <w:rsid w:val="002E1481"/>
    <w:rsid w:val="002F457C"/>
    <w:rsid w:val="003017D5"/>
    <w:rsid w:val="00322037"/>
    <w:rsid w:val="003275CC"/>
    <w:rsid w:val="00357364"/>
    <w:rsid w:val="00360DD0"/>
    <w:rsid w:val="00362E4A"/>
    <w:rsid w:val="00363E25"/>
    <w:rsid w:val="00364583"/>
    <w:rsid w:val="003769FA"/>
    <w:rsid w:val="0038554B"/>
    <w:rsid w:val="003C0128"/>
    <w:rsid w:val="003E01DE"/>
    <w:rsid w:val="003E2F66"/>
    <w:rsid w:val="003E6DE3"/>
    <w:rsid w:val="003F360C"/>
    <w:rsid w:val="003F7F33"/>
    <w:rsid w:val="00415A50"/>
    <w:rsid w:val="004469D7"/>
    <w:rsid w:val="00447154"/>
    <w:rsid w:val="00452530"/>
    <w:rsid w:val="00462EE7"/>
    <w:rsid w:val="00486B8B"/>
    <w:rsid w:val="00486FEE"/>
    <w:rsid w:val="004A60C3"/>
    <w:rsid w:val="004C5306"/>
    <w:rsid w:val="004E16D1"/>
    <w:rsid w:val="0050199A"/>
    <w:rsid w:val="005076B3"/>
    <w:rsid w:val="00514E24"/>
    <w:rsid w:val="00534889"/>
    <w:rsid w:val="00547FD6"/>
    <w:rsid w:val="00560BF6"/>
    <w:rsid w:val="00563A8D"/>
    <w:rsid w:val="00570E7D"/>
    <w:rsid w:val="005856D4"/>
    <w:rsid w:val="005867AF"/>
    <w:rsid w:val="005A6777"/>
    <w:rsid w:val="005B107B"/>
    <w:rsid w:val="005E3CAB"/>
    <w:rsid w:val="0061270B"/>
    <w:rsid w:val="006350C2"/>
    <w:rsid w:val="00663FC2"/>
    <w:rsid w:val="006665AB"/>
    <w:rsid w:val="0068271E"/>
    <w:rsid w:val="00687AAB"/>
    <w:rsid w:val="006A0D00"/>
    <w:rsid w:val="00706AC7"/>
    <w:rsid w:val="007146B3"/>
    <w:rsid w:val="007303E7"/>
    <w:rsid w:val="007516BA"/>
    <w:rsid w:val="00753381"/>
    <w:rsid w:val="00775EE5"/>
    <w:rsid w:val="007C2B1F"/>
    <w:rsid w:val="007C7207"/>
    <w:rsid w:val="007D02B7"/>
    <w:rsid w:val="00816F7E"/>
    <w:rsid w:val="00822E1F"/>
    <w:rsid w:val="00853AB1"/>
    <w:rsid w:val="00871026"/>
    <w:rsid w:val="00873A01"/>
    <w:rsid w:val="00881A9D"/>
    <w:rsid w:val="00893FD4"/>
    <w:rsid w:val="008950B8"/>
    <w:rsid w:val="008A7FD5"/>
    <w:rsid w:val="008B027D"/>
    <w:rsid w:val="008B2F69"/>
    <w:rsid w:val="008B60C6"/>
    <w:rsid w:val="008C1728"/>
    <w:rsid w:val="008C545A"/>
    <w:rsid w:val="008D3AD9"/>
    <w:rsid w:val="008E2F71"/>
    <w:rsid w:val="008E6E9C"/>
    <w:rsid w:val="008F170A"/>
    <w:rsid w:val="008F660C"/>
    <w:rsid w:val="008F734B"/>
    <w:rsid w:val="00903FB2"/>
    <w:rsid w:val="0093264D"/>
    <w:rsid w:val="009424A2"/>
    <w:rsid w:val="00944A43"/>
    <w:rsid w:val="00944F14"/>
    <w:rsid w:val="00964F00"/>
    <w:rsid w:val="0097053B"/>
    <w:rsid w:val="00983B7D"/>
    <w:rsid w:val="00992534"/>
    <w:rsid w:val="009D4CD1"/>
    <w:rsid w:val="009E0037"/>
    <w:rsid w:val="009E74DA"/>
    <w:rsid w:val="00A03AA8"/>
    <w:rsid w:val="00A241E4"/>
    <w:rsid w:val="00A31C7D"/>
    <w:rsid w:val="00A36F8B"/>
    <w:rsid w:val="00A54FED"/>
    <w:rsid w:val="00A80590"/>
    <w:rsid w:val="00A80B64"/>
    <w:rsid w:val="00A9079D"/>
    <w:rsid w:val="00A92EAE"/>
    <w:rsid w:val="00B10EF0"/>
    <w:rsid w:val="00B153D5"/>
    <w:rsid w:val="00B21671"/>
    <w:rsid w:val="00B22918"/>
    <w:rsid w:val="00B35144"/>
    <w:rsid w:val="00B46124"/>
    <w:rsid w:val="00B60417"/>
    <w:rsid w:val="00B620A4"/>
    <w:rsid w:val="00B62C56"/>
    <w:rsid w:val="00B7017D"/>
    <w:rsid w:val="00B7740B"/>
    <w:rsid w:val="00BB2D26"/>
    <w:rsid w:val="00BF6E80"/>
    <w:rsid w:val="00BF769F"/>
    <w:rsid w:val="00C0170D"/>
    <w:rsid w:val="00C04A30"/>
    <w:rsid w:val="00C11F42"/>
    <w:rsid w:val="00C21BEE"/>
    <w:rsid w:val="00C220A8"/>
    <w:rsid w:val="00C44C5B"/>
    <w:rsid w:val="00C563C3"/>
    <w:rsid w:val="00C673F8"/>
    <w:rsid w:val="00C76741"/>
    <w:rsid w:val="00C77499"/>
    <w:rsid w:val="00CB10F5"/>
    <w:rsid w:val="00CD1586"/>
    <w:rsid w:val="00CD5C35"/>
    <w:rsid w:val="00CE2EC8"/>
    <w:rsid w:val="00D12B63"/>
    <w:rsid w:val="00D1317D"/>
    <w:rsid w:val="00D21AA0"/>
    <w:rsid w:val="00D27E4C"/>
    <w:rsid w:val="00D51189"/>
    <w:rsid w:val="00D77B39"/>
    <w:rsid w:val="00D830AD"/>
    <w:rsid w:val="00D86D50"/>
    <w:rsid w:val="00D937E0"/>
    <w:rsid w:val="00DA31A0"/>
    <w:rsid w:val="00DD5131"/>
    <w:rsid w:val="00DE5CA3"/>
    <w:rsid w:val="00DF1B92"/>
    <w:rsid w:val="00DF5758"/>
    <w:rsid w:val="00E35C5C"/>
    <w:rsid w:val="00E41E99"/>
    <w:rsid w:val="00E63132"/>
    <w:rsid w:val="00E64AF6"/>
    <w:rsid w:val="00E67F48"/>
    <w:rsid w:val="00E81309"/>
    <w:rsid w:val="00E8427B"/>
    <w:rsid w:val="00E87546"/>
    <w:rsid w:val="00EA3F77"/>
    <w:rsid w:val="00ED3C1C"/>
    <w:rsid w:val="00ED4777"/>
    <w:rsid w:val="00ED7212"/>
    <w:rsid w:val="00EE753A"/>
    <w:rsid w:val="00EF73F8"/>
    <w:rsid w:val="00F032CD"/>
    <w:rsid w:val="00F078C0"/>
    <w:rsid w:val="00F154A3"/>
    <w:rsid w:val="00F20B20"/>
    <w:rsid w:val="00F279E7"/>
    <w:rsid w:val="00F34D0F"/>
    <w:rsid w:val="00F55523"/>
    <w:rsid w:val="00F77530"/>
    <w:rsid w:val="00F95AC2"/>
    <w:rsid w:val="00F977D9"/>
    <w:rsid w:val="00FB1E25"/>
    <w:rsid w:val="00FC097F"/>
    <w:rsid w:val="00FD0AB6"/>
    <w:rsid w:val="00FD6897"/>
    <w:rsid w:val="00FE77F8"/>
    <w:rsid w:val="02966CDC"/>
    <w:rsid w:val="1C9209EC"/>
    <w:rsid w:val="26AF41CD"/>
    <w:rsid w:val="29C73B59"/>
    <w:rsid w:val="77F0231C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4 - Accent 51"/>
    <w:basedOn w:val="3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1752</Characters>
  <Lines>14</Lines>
  <Paragraphs>4</Paragraphs>
  <TotalTime>907</TotalTime>
  <ScaleCrop>false</ScaleCrop>
  <LinksUpToDate>false</LinksUpToDate>
  <CharactersWithSpaces>2055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2023-12-15T11:39:00Z</dcterms:created>
  <dc:creator>Windows User</dc:creator>
  <cp:lastModifiedBy>Fakultet bezbjednosnih nauka</cp:lastModifiedBy>
  <cp:lastPrinted>2025-05-06T06:59:00Z</cp:lastPrinted>
  <dcterms:modified xsi:type="dcterms:W3CDTF">2025-05-07T09:52:49Z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2592925C08FF465DA68062DD9EFC7BEC_12</vt:lpwstr>
  </property>
</Properties>
</file>